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6321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5A25A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21617F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>
        <w:rPr>
          <w:rFonts w:ascii="Tahoma" w:hAnsi="Tahoma" w:cs="Tahoma"/>
          <w:sz w:val="20"/>
          <w:szCs w:val="20"/>
        </w:rPr>
        <w:t xml:space="preserve">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D16A97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D16A97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F2C26" w:rsidRPr="005A25A3">
        <w:rPr>
          <w:rFonts w:ascii="Tahoma" w:hAnsi="Tahoma" w:cs="Tahoma"/>
          <w:sz w:val="20"/>
        </w:rPr>
        <w:t>и в Закупочной документации</w:t>
      </w:r>
      <w:r w:rsidR="007F2C26" w:rsidRPr="005A25A3">
        <w:rPr>
          <w:rFonts w:ascii="Tahoma" w:hAnsi="Tahoma" w:cs="Tahoma"/>
          <w:sz w:val="20"/>
          <w:szCs w:val="20"/>
        </w:rPr>
        <w:t xml:space="preserve">),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AF0AD8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фазные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</w:t>
      </w:r>
      <w:r w:rsidRPr="005A25A3">
        <w:rPr>
          <w:rFonts w:ascii="Tahoma" w:hAnsi="Tahoma" w:cs="Tahoma"/>
          <w:sz w:val="20"/>
        </w:rPr>
        <w:lastRenderedPageBreak/>
        <w:t>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5A25A3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Срок поставки</w:t>
      </w:r>
      <w:r w:rsidRPr="005A25A3">
        <w:rPr>
          <w:rFonts w:ascii="Tahoma" w:hAnsi="Tahoma" w:cs="Tahoma"/>
          <w:sz w:val="20"/>
        </w:rPr>
        <w:t xml:space="preserve"> </w:t>
      </w:r>
      <w:r w:rsidR="00733B31" w:rsidRPr="00733B31">
        <w:rPr>
          <w:rFonts w:ascii="Tahoma" w:hAnsi="Tahoma" w:cs="Tahoma"/>
          <w:sz w:val="20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9765F" w:rsidRPr="00733B31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5A25A3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5A25A3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 xml:space="preserve">) на основании выставленного </w:t>
      </w:r>
      <w:r w:rsidRPr="005A25A3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5A25A3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5A25A3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C05810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16F9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3A16F9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A16F9" w:rsidRPr="00481FA0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Aleksey.Terentev@komiesc.ru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D16A97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3937B8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D16A97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D16A97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="00D16A97">
        <w:t xml:space="preserve"> </w:t>
      </w:r>
      <w:r w:rsidR="003937B8" w:rsidRPr="003937B8">
        <w:rPr>
          <w:rFonts w:ascii="Tahoma" w:hAnsi="Tahoma" w:cs="Tahoma"/>
          <w:sz w:val="20"/>
        </w:rPr>
        <w:t>, и в Закупочной документации</w:t>
      </w:r>
      <w:r w:rsidRPr="005A25A3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D16A97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100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3A16F9" w:rsidRPr="00C4584B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C4584B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C0581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E20117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E20117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5A25A3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CF3812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Р/с № 0702810828000114785 в Коми Отделение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CF3812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5A25A3">
              <w:rPr>
                <w:rFonts w:ascii="Tahoma" w:hAnsi="Tahoma" w:cs="Tahoma"/>
                <w:sz w:val="20"/>
              </w:rPr>
              <w:t>2024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AF0AD8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5A25A3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</w:rPr>
        <w:br w:type="page"/>
      </w: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5A25A3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AF0AD8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фазных 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733B31" w:rsidRPr="00733B31">
        <w:rPr>
          <w:rFonts w:ascii="Tahoma" w:hAnsi="Tahoma" w:cs="Tahoma"/>
          <w:sz w:val="20"/>
          <w:szCs w:val="20"/>
          <w:lang w:bidi="ru-RU"/>
        </w:rPr>
        <w:t xml:space="preserve">(далее - ПУ ЭЭ, ПУ, счетчик) </w:t>
      </w:r>
      <w:r w:rsidRPr="00733B31">
        <w:rPr>
          <w:rFonts w:ascii="Tahoma" w:hAnsi="Tahoma" w:cs="Tahoma"/>
          <w:sz w:val="20"/>
          <w:szCs w:val="20"/>
          <w:lang w:bidi="ru-RU"/>
        </w:rPr>
        <w:t xml:space="preserve">для нужд </w:t>
      </w:r>
      <w:r w:rsidR="003A16F9" w:rsidRPr="00733B31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277CA9" w:rsidRPr="00733B31">
        <w:rPr>
          <w:rFonts w:ascii="Tahoma" w:hAnsi="Tahoma" w:cs="Tahoma"/>
          <w:sz w:val="20"/>
          <w:szCs w:val="20"/>
          <w:lang w:bidi="ru-RU"/>
        </w:rPr>
        <w:t>«</w:t>
      </w:r>
      <w:r w:rsidR="003A16F9" w:rsidRPr="00733B31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733B31">
        <w:rPr>
          <w:rFonts w:ascii="Tahoma" w:hAnsi="Tahoma" w:cs="Tahoma"/>
          <w:sz w:val="20"/>
          <w:szCs w:val="20"/>
          <w:lang w:bidi="ru-RU"/>
        </w:rPr>
        <w:t xml:space="preserve"> </w:t>
      </w:r>
      <w:r w:rsidR="00277CA9" w:rsidRPr="00733B31">
        <w:rPr>
          <w:rFonts w:ascii="Tahoma" w:hAnsi="Tahoma" w:cs="Tahoma"/>
          <w:sz w:val="20"/>
          <w:szCs w:val="20"/>
          <w:lang w:bidi="ru-RU"/>
        </w:rPr>
        <w:br/>
      </w:r>
      <w:r w:rsidR="003A16F9" w:rsidRPr="00733B31">
        <w:rPr>
          <w:rFonts w:ascii="Tahoma" w:hAnsi="Tahoma" w:cs="Tahoma"/>
          <w:sz w:val="20"/>
          <w:szCs w:val="20"/>
          <w:lang w:bidi="ru-RU"/>
        </w:rPr>
        <w:t xml:space="preserve">(АО </w:t>
      </w:r>
      <w:r w:rsidR="003A16F9" w:rsidRPr="00733B31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733B31">
        <w:rPr>
          <w:rFonts w:ascii="Tahoma" w:hAnsi="Tahoma" w:cs="Tahoma"/>
          <w:sz w:val="20"/>
          <w:szCs w:val="20"/>
          <w:lang w:bidi="ru-RU"/>
        </w:rPr>
        <w:t>), именуемого в дальнейшем «Покупатель».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3A59AC" w:rsidRPr="005A25A3">
        <w:rPr>
          <w:rFonts w:ascii="Tahoma" w:hAnsi="Tahoma" w:cs="Tahoma"/>
          <w:sz w:val="20"/>
        </w:rPr>
        <w:t>31.03.2025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>течение</w:t>
      </w:r>
      <w:r w:rsidR="00816321">
        <w:rPr>
          <w:rFonts w:ascii="Tahoma" w:hAnsi="Tahoma" w:cs="Tahoma"/>
          <w:sz w:val="20"/>
        </w:rPr>
        <w:t xml:space="preserve"> 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6321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) </w:t>
      </w:r>
      <w:r w:rsidRPr="005A25A3">
        <w:rPr>
          <w:rFonts w:ascii="Tahoma" w:hAnsi="Tahoma" w:cs="Tahoma"/>
          <w:sz w:val="20"/>
          <w:szCs w:val="20"/>
        </w:rPr>
        <w:t>Покупателя, находящи</w:t>
      </w:r>
      <w:r w:rsidR="003A16F9">
        <w:rPr>
          <w:rFonts w:ascii="Tahoma" w:hAnsi="Tahoma" w:cs="Tahoma"/>
          <w:sz w:val="20"/>
          <w:szCs w:val="20"/>
        </w:rPr>
        <w:t>йся</w:t>
      </w:r>
      <w:r w:rsidRPr="005A25A3">
        <w:rPr>
          <w:rFonts w:ascii="Tahoma" w:hAnsi="Tahoma" w:cs="Tahoma"/>
          <w:sz w:val="20"/>
          <w:szCs w:val="20"/>
        </w:rPr>
        <w:t xml:space="preserve"> по адрес</w:t>
      </w:r>
      <w:r w:rsidR="003A16F9">
        <w:rPr>
          <w:rFonts w:ascii="Tahoma" w:hAnsi="Tahoma" w:cs="Tahoma"/>
          <w:sz w:val="20"/>
          <w:szCs w:val="20"/>
        </w:rPr>
        <w:t>у</w:t>
      </w:r>
      <w:r w:rsidRPr="005A25A3">
        <w:rPr>
          <w:rFonts w:ascii="Tahoma" w:hAnsi="Tahoma" w:cs="Tahoma"/>
          <w:sz w:val="20"/>
          <w:szCs w:val="20"/>
        </w:rPr>
        <w:t>:</w:t>
      </w:r>
    </w:p>
    <w:p w:rsidR="003A16F9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733B31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5A25A3">
        <w:rPr>
          <w:rFonts w:ascii="Tahoma" w:hAnsi="Tahoma" w:cs="Tahoma"/>
          <w:b/>
          <w:bCs/>
          <w:sz w:val="20"/>
          <w:lang w:bidi="ru-RU"/>
        </w:rPr>
        <w:t>Требования к</w:t>
      </w:r>
      <w:r w:rsidR="00733B31">
        <w:rPr>
          <w:rFonts w:ascii="Tahoma" w:hAnsi="Tahoma" w:cs="Tahoma"/>
          <w:b/>
          <w:bCs/>
          <w:sz w:val="20"/>
          <w:lang w:bidi="ru-RU"/>
        </w:rPr>
        <w:t xml:space="preserve"> </w:t>
      </w:r>
      <w:r w:rsidR="00733B31" w:rsidRPr="00733B31">
        <w:rPr>
          <w:rFonts w:ascii="Tahoma" w:hAnsi="Tahoma" w:cs="Tahoma"/>
          <w:b/>
          <w:bCs/>
          <w:sz w:val="20"/>
          <w:lang w:bidi="ru-RU"/>
        </w:rPr>
        <w:t>обязательным</w:t>
      </w:r>
      <w:r w:rsidRPr="005A25A3">
        <w:rPr>
          <w:rFonts w:ascii="Tahoma" w:hAnsi="Tahoma" w:cs="Tahoma"/>
          <w:b/>
          <w:bCs/>
          <w:sz w:val="20"/>
          <w:lang w:bidi="ru-RU"/>
        </w:rPr>
        <w:t xml:space="preserve"> техническим характеристикам поставляемого оборудования (приборы учета электрической энергии)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5A25A3">
        <w:rPr>
          <w:rFonts w:ascii="Tahoma" w:hAnsi="Tahoma" w:cs="Tahoma"/>
          <w:sz w:val="20"/>
        </w:rPr>
        <w:t xml:space="preserve"> / SIM-чипа</w:t>
      </w:r>
      <w:r w:rsidRPr="005A25A3">
        <w:rPr>
          <w:rFonts w:ascii="Tahoma" w:hAnsi="Tahoma" w:cs="Tahoma"/>
          <w:sz w:val="20"/>
        </w:rPr>
        <w:t xml:space="preserve"> установленн</w:t>
      </w:r>
      <w:r w:rsidR="00965C7D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в ПУ</w:t>
      </w:r>
      <w:r w:rsidR="002E2B81" w:rsidRPr="005A25A3">
        <w:rPr>
          <w:rFonts w:ascii="Tahoma" w:hAnsi="Tahoma" w:cs="Tahoma"/>
          <w:sz w:val="20"/>
        </w:rPr>
        <w:t xml:space="preserve">, </w:t>
      </w:r>
      <w:r w:rsidR="00C60323">
        <w:rPr>
          <w:rFonts w:ascii="Tahoma" w:hAnsi="Tahoma" w:cs="Tahoma"/>
          <w:sz w:val="20"/>
        </w:rPr>
        <w:t>уровень сигнала связи оператора</w:t>
      </w:r>
      <w:r w:rsidR="002E2B81"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5A25A3">
        <w:rPr>
          <w:rFonts w:ascii="Tahoma" w:hAnsi="Tahoma" w:cs="Tahoma"/>
          <w:sz w:val="20"/>
        </w:rPr>
        <w:t xml:space="preserve"> (но не менее 6)</w:t>
      </w:r>
      <w:r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>
        <w:rPr>
          <w:rFonts w:ascii="Tahoma" w:hAnsi="Tahoma" w:cs="Tahoma"/>
          <w:sz w:val="20"/>
        </w:rPr>
        <w:t>в режиме клиента (но не менее 3).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5A25A3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5A25A3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5A25A3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5812"/>
        <w:gridCol w:w="3962"/>
      </w:tblGrid>
      <w:tr w:rsidR="007F2C26" w:rsidRPr="00AF0AD8" w:rsidTr="00AF0AD8">
        <w:trPr>
          <w:trHeight w:val="241"/>
        </w:trPr>
        <w:tc>
          <w:tcPr>
            <w:tcW w:w="5812" w:type="dxa"/>
            <w:vMerge w:val="restart"/>
            <w:vAlign w:val="center"/>
          </w:tcPr>
          <w:p w:rsidR="007F2C26" w:rsidRPr="00AF0AD8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AF0AD8">
              <w:rPr>
                <w:rFonts w:ascii="Tahoma" w:hAnsi="Tahoma" w:cs="Tahoma"/>
                <w:sz w:val="18"/>
                <w:szCs w:val="20"/>
              </w:rPr>
              <w:t>Наименование продукции</w:t>
            </w:r>
          </w:p>
        </w:tc>
        <w:tc>
          <w:tcPr>
            <w:tcW w:w="3962" w:type="dxa"/>
            <w:vMerge w:val="restart"/>
            <w:shd w:val="clear" w:color="auto" w:fill="auto"/>
            <w:vAlign w:val="center"/>
          </w:tcPr>
          <w:p w:rsidR="007F2C26" w:rsidRPr="00AF0AD8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AF0AD8">
              <w:rPr>
                <w:rFonts w:ascii="Tahoma" w:hAnsi="Tahoma" w:cs="Tahoma"/>
                <w:sz w:val="18"/>
                <w:szCs w:val="20"/>
              </w:rPr>
              <w:t>Максимальный ток</w:t>
            </w:r>
          </w:p>
        </w:tc>
      </w:tr>
      <w:tr w:rsidR="007F2C26" w:rsidRPr="00AF0AD8" w:rsidTr="00AF0AD8">
        <w:trPr>
          <w:cantSplit/>
          <w:trHeight w:val="241"/>
        </w:trPr>
        <w:tc>
          <w:tcPr>
            <w:tcW w:w="5812" w:type="dxa"/>
            <w:vMerge/>
            <w:vAlign w:val="center"/>
          </w:tcPr>
          <w:p w:rsidR="007F2C26" w:rsidRPr="00AF0AD8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962" w:type="dxa"/>
            <w:vMerge/>
            <w:shd w:val="clear" w:color="auto" w:fill="auto"/>
          </w:tcPr>
          <w:p w:rsidR="007F2C26" w:rsidRPr="00AF0AD8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7F2C26" w:rsidRPr="00AF0AD8" w:rsidTr="00AF0AD8">
        <w:trPr>
          <w:trHeight w:val="241"/>
        </w:trPr>
        <w:tc>
          <w:tcPr>
            <w:tcW w:w="5812" w:type="dxa"/>
            <w:vMerge/>
            <w:vAlign w:val="center"/>
          </w:tcPr>
          <w:p w:rsidR="007F2C26" w:rsidRPr="00AF0AD8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3962" w:type="dxa"/>
            <w:vMerge/>
            <w:shd w:val="clear" w:color="auto" w:fill="auto"/>
            <w:vAlign w:val="center"/>
          </w:tcPr>
          <w:p w:rsidR="007F2C26" w:rsidRPr="00AF0AD8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  <w:tr w:rsidR="00AF0AD8" w:rsidRPr="00AF0AD8" w:rsidTr="00AF0AD8">
        <w:trPr>
          <w:trHeight w:val="20"/>
        </w:trPr>
        <w:tc>
          <w:tcPr>
            <w:tcW w:w="5812" w:type="dxa"/>
          </w:tcPr>
          <w:p w:rsidR="00AF0AD8" w:rsidRPr="00AF0AD8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AF0AD8">
              <w:rPr>
                <w:rFonts w:ascii="Tahoma" w:hAnsi="Tahoma" w:cs="Tahoma"/>
                <w:sz w:val="18"/>
                <w:szCs w:val="20"/>
              </w:rPr>
              <w:t>Счетчик электроэнергии трехфазный прямого включения</w:t>
            </w:r>
          </w:p>
        </w:tc>
        <w:tc>
          <w:tcPr>
            <w:tcW w:w="3962" w:type="dxa"/>
          </w:tcPr>
          <w:p w:rsidR="00AF0AD8" w:rsidRPr="00AF0AD8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AF0AD8">
              <w:rPr>
                <w:rFonts w:ascii="Tahoma" w:hAnsi="Tahoma" w:cs="Tahoma"/>
                <w:sz w:val="18"/>
                <w:szCs w:val="20"/>
              </w:rPr>
              <w:t>Максимальный ток не менее 100 А</w:t>
            </w:r>
          </w:p>
        </w:tc>
      </w:tr>
      <w:tr w:rsidR="00AF0AD8" w:rsidRPr="00AF0AD8" w:rsidTr="00AF0AD8">
        <w:trPr>
          <w:trHeight w:val="20"/>
        </w:trPr>
        <w:tc>
          <w:tcPr>
            <w:tcW w:w="5812" w:type="dxa"/>
          </w:tcPr>
          <w:p w:rsidR="00AF0AD8" w:rsidRPr="00AF0AD8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AF0AD8">
              <w:rPr>
                <w:rFonts w:ascii="Tahoma" w:hAnsi="Tahoma" w:cs="Tahoma"/>
                <w:sz w:val="18"/>
                <w:szCs w:val="20"/>
              </w:rPr>
              <w:t>Счетчик электроэнергии трехфазный полукосвенного включения</w:t>
            </w:r>
          </w:p>
        </w:tc>
        <w:tc>
          <w:tcPr>
            <w:tcW w:w="3962" w:type="dxa"/>
          </w:tcPr>
          <w:p w:rsidR="00AF0AD8" w:rsidRPr="00AF0AD8" w:rsidRDefault="00AF0AD8" w:rsidP="00AF0AD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AF0AD8">
              <w:rPr>
                <w:rFonts w:ascii="Tahoma" w:hAnsi="Tahoma" w:cs="Tahoma"/>
                <w:sz w:val="18"/>
                <w:szCs w:val="20"/>
              </w:rPr>
              <w:t>Базовый (Максимальный) ток 5 (10) А</w:t>
            </w:r>
          </w:p>
        </w:tc>
      </w:tr>
    </w:tbl>
    <w:p w:rsidR="00DB488C" w:rsidRPr="005A25A3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5A25A3">
        <w:rPr>
          <w:rFonts w:ascii="Tahoma" w:hAnsi="Tahoma" w:cs="Tahoma"/>
          <w:sz w:val="20"/>
        </w:rPr>
        <w:t>о</w:t>
      </w:r>
      <w:r w:rsidRPr="005A25A3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5A25A3">
        <w:rPr>
          <w:rFonts w:ascii="Tahoma" w:hAnsi="Tahoma" w:cs="Tahoma"/>
          <w:sz w:val="20"/>
        </w:rPr>
        <w:t xml:space="preserve"> ООО «АСТЭК», ИНН 3328439073) </w:t>
      </w:r>
      <w:r w:rsidRPr="005A25A3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5A25A3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и актуальны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переч</w:t>
      </w:r>
      <w:r w:rsidR="005D11AA" w:rsidRPr="005A25A3">
        <w:rPr>
          <w:rFonts w:ascii="Tahoma" w:hAnsi="Tahoma" w:cs="Tahoma"/>
          <w:sz w:val="20"/>
        </w:rPr>
        <w:t>ень</w:t>
      </w:r>
      <w:r w:rsidRPr="005A25A3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5A25A3">
        <w:rPr>
          <w:rFonts w:ascii="Tahoma" w:hAnsi="Tahoma" w:cs="Tahoma"/>
          <w:sz w:val="20"/>
        </w:rPr>
        <w:t>е</w:t>
      </w:r>
      <w:r w:rsidRPr="005A25A3">
        <w:rPr>
          <w:rFonts w:ascii="Tahoma" w:hAnsi="Tahoma" w:cs="Tahoma"/>
          <w:sz w:val="20"/>
        </w:rPr>
        <w:t xml:space="preserve"> разработчик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 xml:space="preserve"> программн</w:t>
      </w:r>
      <w:r w:rsidR="005D11AA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комплекс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: http://www.sicon.ru/prod/aiis/devices/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Default="007F2C26" w:rsidP="00733B31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5A25A3">
        <w:rPr>
          <w:rFonts w:ascii="Tahoma" w:hAnsi="Tahoma" w:cs="Tahoma"/>
          <w:sz w:val="20"/>
        </w:rPr>
        <w:t xml:space="preserve">на перепрограммирование </w:t>
      </w:r>
      <w:r w:rsidRPr="005A25A3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5A25A3" w:rsidRDefault="007F2C26" w:rsidP="00733B31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5A25A3" w:rsidRDefault="003A16F9" w:rsidP="005E2DBB">
      <w:pPr>
        <w:pStyle w:val="aa"/>
        <w:spacing w:line="259" w:lineRule="auto"/>
        <w:ind w:left="0"/>
        <w:rPr>
          <w:rFonts w:ascii="Tahoma" w:hAnsi="Tahoma" w:cs="Tahoma"/>
          <w:sz w:val="20"/>
        </w:rPr>
      </w:pPr>
      <w:r w:rsidRPr="00B22A42">
        <w:rPr>
          <w:rFonts w:ascii="Tahoma" w:hAnsi="Tahoma" w:cs="Tahoma"/>
          <w:sz w:val="20"/>
        </w:rPr>
        <w:t xml:space="preserve">АО «КЭСК» </w:t>
      </w:r>
      <w:r w:rsidR="007F2C26" w:rsidRPr="005A25A3">
        <w:rPr>
          <w:rFonts w:ascii="Tahoma" w:hAnsi="Tahoma" w:cs="Tahoma"/>
          <w:sz w:val="20"/>
        </w:rPr>
        <w:t xml:space="preserve">- </w:t>
      </w:r>
      <w:r w:rsidRPr="00E3198F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33B31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86A26" w:rsidRDefault="007F2C26" w:rsidP="00733B31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5A25A3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5A25A3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5A25A3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5A25A3" w:rsidRDefault="00C21A8F" w:rsidP="005E2DBB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5A25A3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5A25A3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733B31" w:rsidRDefault="00C21A8F" w:rsidP="005E2DBB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5A25A3">
        <w:rPr>
          <w:rFonts w:ascii="Tahoma" w:hAnsi="Tahoma" w:cs="Tahoma"/>
          <w:sz w:val="20"/>
        </w:rPr>
        <w:t xml:space="preserve">Срок службы </w:t>
      </w:r>
      <w:r w:rsidRPr="005A25A3">
        <w:rPr>
          <w:rFonts w:ascii="Tahoma" w:hAnsi="Tahoma" w:cs="Tahoma"/>
          <w:sz w:val="20"/>
        </w:rPr>
        <w:t>батареи</w:t>
      </w:r>
      <w:r w:rsidR="008E461D" w:rsidRPr="005A25A3">
        <w:rPr>
          <w:rFonts w:ascii="Tahoma" w:hAnsi="Tahoma" w:cs="Tahoma"/>
          <w:sz w:val="20"/>
        </w:rPr>
        <w:t xml:space="preserve"> </w:t>
      </w:r>
      <w:r w:rsidR="008E461D" w:rsidRPr="00733B31">
        <w:rPr>
          <w:rFonts w:ascii="Tahoma" w:hAnsi="Tahoma" w:cs="Tahoma"/>
          <w:sz w:val="20"/>
        </w:rPr>
        <w:t>долж</w:t>
      </w:r>
      <w:r w:rsidR="003C6E0E" w:rsidRPr="00733B31">
        <w:rPr>
          <w:rFonts w:ascii="Tahoma" w:hAnsi="Tahoma" w:cs="Tahoma"/>
          <w:sz w:val="20"/>
        </w:rPr>
        <w:t>ен</w:t>
      </w:r>
      <w:r w:rsidR="008E461D" w:rsidRPr="00733B31">
        <w:rPr>
          <w:rFonts w:ascii="Tahoma" w:hAnsi="Tahoma" w:cs="Tahoma"/>
          <w:sz w:val="20"/>
        </w:rPr>
        <w:t xml:space="preserve"> составлять</w:t>
      </w:r>
      <w:r w:rsidRPr="00733B31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733B31">
        <w:rPr>
          <w:rFonts w:ascii="Tahoma" w:hAnsi="Tahoma" w:cs="Tahoma"/>
          <w:sz w:val="20"/>
        </w:rPr>
        <w:t>.</w:t>
      </w:r>
    </w:p>
    <w:p w:rsidR="00733B31" w:rsidRPr="00733B31" w:rsidRDefault="00733B31" w:rsidP="00733B31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733B31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733B31" w:rsidRPr="00733B31" w:rsidRDefault="00733B31" w:rsidP="00733B31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733B31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733B31" w:rsidRPr="00733B31" w:rsidRDefault="00733B31" w:rsidP="00733B31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733B31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733B31" w:rsidRPr="005A25A3" w:rsidRDefault="00733B31" w:rsidP="00733B31">
      <w:pPr>
        <w:pStyle w:val="aa"/>
        <w:spacing w:afterLines="160" w:after="384" w:line="259" w:lineRule="auto"/>
        <w:ind w:firstLine="0"/>
      </w:pPr>
      <w:r w:rsidRPr="00733B31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733B31">
        <w:rPr>
          <w:rFonts w:ascii="Tahoma" w:hAnsi="Tahoma" w:cs="Tahoma"/>
          <w:sz w:val="20"/>
          <w:lang w:val="en-US"/>
        </w:rPr>
        <w:t>RS</w:t>
      </w:r>
      <w:r w:rsidRPr="00733B31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733B31">
        <w:rPr>
          <w:noProof/>
        </w:rPr>
        <w:drawing>
          <wp:inline distT="0" distB="0" distL="0" distR="0" wp14:anchorId="44AF3A76" wp14:editId="1162A87F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364" cy="171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AF0AD8" w:rsidRPr="00AF0AD8" w:rsidRDefault="00AF0AD8" w:rsidP="00AF0AD8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AF0AD8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73FE05C5" wp14:editId="73304322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0AD8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ПУ ЭЭ прямого включения с универсальным креплением на 3 точки и на </w:t>
      </w:r>
      <w:r w:rsidRPr="00AF0AD8">
        <w:rPr>
          <w:rFonts w:ascii="Tahoma" w:hAnsi="Tahoma" w:cs="Tahoma"/>
          <w:sz w:val="20"/>
          <w:szCs w:val="20"/>
          <w:lang w:val="en-US"/>
        </w:rPr>
        <w:t>DIN</w:t>
      </w:r>
      <w:r w:rsidRPr="00AF0AD8">
        <w:rPr>
          <w:rFonts w:ascii="Tahoma" w:hAnsi="Tahoma" w:cs="Tahoma"/>
          <w:sz w:val="20"/>
          <w:szCs w:val="20"/>
        </w:rPr>
        <w:t>-рейку:</w:t>
      </w:r>
    </w:p>
    <w:p w:rsidR="00AF0AD8" w:rsidRPr="00AF0AD8" w:rsidRDefault="00AF0AD8" w:rsidP="00AF0AD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По высоте не более 290 мм;</w:t>
      </w:r>
    </w:p>
    <w:p w:rsidR="00AF0AD8" w:rsidRPr="00AF0AD8" w:rsidRDefault="00AF0AD8" w:rsidP="00AF0AD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По ширине не более 175 мм;</w:t>
      </w:r>
    </w:p>
    <w:p w:rsidR="00AF0AD8" w:rsidRPr="00AF0AD8" w:rsidRDefault="00AF0AD8" w:rsidP="00AF0AD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По глубине не более 100 мм.</w:t>
      </w:r>
    </w:p>
    <w:p w:rsidR="00AF0AD8" w:rsidRPr="00AF0AD8" w:rsidRDefault="00AF0AD8" w:rsidP="00AF0AD8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ПУ ЭЭ полукосвенного включения с универсальным креплением на 3 точки и на </w:t>
      </w:r>
      <w:r w:rsidRPr="00AF0AD8">
        <w:rPr>
          <w:rFonts w:ascii="Tahoma" w:hAnsi="Tahoma" w:cs="Tahoma"/>
          <w:sz w:val="20"/>
          <w:szCs w:val="20"/>
          <w:lang w:val="en-US"/>
        </w:rPr>
        <w:t>DIN</w:t>
      </w:r>
      <w:r w:rsidRPr="00AF0AD8">
        <w:rPr>
          <w:rFonts w:ascii="Tahoma" w:hAnsi="Tahoma" w:cs="Tahoma"/>
          <w:sz w:val="20"/>
          <w:szCs w:val="20"/>
        </w:rPr>
        <w:t>-рейку:</w:t>
      </w:r>
    </w:p>
    <w:p w:rsidR="00AF0AD8" w:rsidRPr="00AF0AD8" w:rsidRDefault="00AF0AD8" w:rsidP="00AF0AD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По высоте не более 290 мм;</w:t>
      </w:r>
    </w:p>
    <w:p w:rsidR="00AF0AD8" w:rsidRPr="00AF0AD8" w:rsidRDefault="00AF0AD8" w:rsidP="00AF0AD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По ширине не более 175 мм;</w:t>
      </w:r>
    </w:p>
    <w:p w:rsidR="00AF0AD8" w:rsidRPr="00B5326C" w:rsidRDefault="00AF0AD8" w:rsidP="00AF0AD8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По глубине не более 100 мм.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</w:t>
      </w:r>
      <w:r w:rsidR="00ED570D" w:rsidRPr="00ED570D">
        <w:rPr>
          <w:rFonts w:ascii="Tahoma" w:hAnsi="Tahoma" w:cs="Tahoma"/>
          <w:sz w:val="20"/>
          <w:szCs w:val="20"/>
        </w:rPr>
        <w:t>не менее 16 лет для трехфазного ПУ ЭЭ прямого включения и не менее 10 лет для трехфазного ПУ ЭЭ полукосвенного включения</w:t>
      </w:r>
      <w:r w:rsidRPr="005A25A3">
        <w:rPr>
          <w:rFonts w:ascii="Tahoma" w:hAnsi="Tahoma" w:cs="Tahoma"/>
          <w:sz w:val="20"/>
          <w:szCs w:val="20"/>
        </w:rPr>
        <w:t xml:space="preserve">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AF0AD8" w:rsidRPr="00B5326C" w:rsidRDefault="00AF0AD8" w:rsidP="00AF0AD8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F0AD8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733B31" w:rsidRPr="00733B31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5A25A3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5A25A3" w:rsidRDefault="00733B31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3B31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="00247D57" w:rsidRPr="005A25A3">
        <w:rPr>
          <w:rFonts w:ascii="Tahoma" w:hAnsi="Tahoma" w:cs="Tahoma"/>
          <w:sz w:val="20"/>
          <w:szCs w:val="20"/>
        </w:rPr>
        <w:t xml:space="preserve"> 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</w:t>
      </w:r>
      <w:r w:rsidR="007F2C26" w:rsidRPr="005A25A3">
        <w:rPr>
          <w:rFonts w:ascii="Tahoma" w:hAnsi="Tahoma" w:cs="Tahoma"/>
          <w:sz w:val="20"/>
          <w:szCs w:val="20"/>
        </w:rPr>
        <w:t>бменн</w:t>
      </w:r>
      <w:r w:rsidRPr="005A25A3">
        <w:rPr>
          <w:rFonts w:ascii="Tahoma" w:hAnsi="Tahoma" w:cs="Tahoma"/>
          <w:sz w:val="20"/>
          <w:szCs w:val="20"/>
        </w:rPr>
        <w:t>ый</w:t>
      </w:r>
      <w:r w:rsidR="007F2C26" w:rsidRPr="005A25A3">
        <w:rPr>
          <w:rFonts w:ascii="Tahoma" w:hAnsi="Tahoma" w:cs="Tahoma"/>
          <w:sz w:val="20"/>
          <w:szCs w:val="20"/>
        </w:rPr>
        <w:t xml:space="preserve"> фонд</w:t>
      </w:r>
      <w:r w:rsidRPr="005A25A3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5A25A3">
        <w:rPr>
          <w:rFonts w:ascii="Tahoma" w:hAnsi="Tahoma" w:cs="Tahoma"/>
          <w:sz w:val="20"/>
          <w:szCs w:val="20"/>
        </w:rPr>
        <w:t>%</w:t>
      </w:r>
      <w:r w:rsidR="00774EDD" w:rsidRPr="005A25A3">
        <w:rPr>
          <w:rFonts w:ascii="Tahoma" w:hAnsi="Tahoma" w:cs="Tahoma"/>
          <w:sz w:val="20"/>
          <w:szCs w:val="20"/>
        </w:rPr>
        <w:t xml:space="preserve"> </w:t>
      </w:r>
      <w:r w:rsidR="00774EDD" w:rsidRPr="005A25A3">
        <w:t>(но не менее 2 единиц оборудования)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D70949">
        <w:rPr>
          <w:rFonts w:ascii="Tahoma" w:hAnsi="Tahoma" w:cs="Tahoma"/>
          <w:sz w:val="20"/>
          <w:szCs w:val="20"/>
        </w:rPr>
        <w:t xml:space="preserve"> </w:t>
      </w:r>
      <w:r w:rsidR="00DF4A1D" w:rsidRPr="00D70949">
        <w:rPr>
          <w:rFonts w:ascii="Tahoma" w:hAnsi="Tahoma" w:cs="Tahoma"/>
          <w:sz w:val="20"/>
          <w:szCs w:val="20"/>
        </w:rPr>
        <w:t>Поставщик</w:t>
      </w:r>
      <w:r w:rsidR="00247D57" w:rsidRPr="00D70949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D70949">
        <w:rPr>
          <w:rFonts w:ascii="Tahoma" w:hAnsi="Tahoma" w:cs="Tahoma"/>
          <w:sz w:val="20"/>
          <w:szCs w:val="20"/>
        </w:rPr>
        <w:t>4 (</w:t>
      </w:r>
      <w:r w:rsidR="00247D57" w:rsidRPr="00D70949">
        <w:rPr>
          <w:rFonts w:ascii="Tahoma" w:hAnsi="Tahoma" w:cs="Tahoma"/>
          <w:sz w:val="20"/>
          <w:szCs w:val="20"/>
        </w:rPr>
        <w:t>восьмидесяти</w:t>
      </w:r>
      <w:r w:rsidRPr="00D70949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D70949">
        <w:rPr>
          <w:rFonts w:ascii="Tahoma" w:hAnsi="Tahoma" w:cs="Tahoma"/>
          <w:sz w:val="20"/>
          <w:szCs w:val="20"/>
        </w:rPr>
        <w:t>2</w:t>
      </w:r>
      <w:r w:rsidRPr="00D70949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D70949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D70949">
        <w:rPr>
          <w:rFonts w:ascii="Tahoma" w:hAnsi="Tahoma" w:cs="Tahoma"/>
          <w:sz w:val="20"/>
          <w:szCs w:val="20"/>
        </w:rPr>
        <w:t xml:space="preserve"> (ПО)</w:t>
      </w:r>
      <w:r w:rsidRPr="00D70949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D70949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D70949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D70949">
        <w:rPr>
          <w:rFonts w:ascii="Tahoma" w:hAnsi="Tahoma" w:cs="Tahoma"/>
          <w:sz w:val="20"/>
          <w:szCs w:val="20"/>
        </w:rPr>
        <w:t>ых</w:t>
      </w:r>
      <w:r w:rsidRPr="00D70949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D70949">
        <w:rPr>
          <w:rFonts w:ascii="Tahoma" w:hAnsi="Tahoma" w:cs="Tahoma"/>
          <w:sz w:val="20"/>
          <w:szCs w:val="20"/>
        </w:rPr>
        <w:t>ов</w:t>
      </w:r>
      <w:r w:rsidRPr="00D70949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DF4A1D" w:rsidRPr="00D70949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D70949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D70949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D70949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D70949">
        <w:rPr>
          <w:rFonts w:ascii="Tahoma" w:hAnsi="Tahoma" w:cs="Tahoma"/>
          <w:sz w:val="20"/>
          <w:szCs w:val="20"/>
        </w:rPr>
        <w:t>казанно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</w:t>
      </w:r>
      <w:r w:rsidR="008B068A" w:rsidRPr="00D70949">
        <w:rPr>
          <w:rFonts w:ascii="Tahoma" w:hAnsi="Tahoma" w:cs="Tahoma"/>
          <w:sz w:val="20"/>
          <w:szCs w:val="20"/>
        </w:rPr>
        <w:t>технологическо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и коммуникационно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п</w:t>
      </w:r>
      <w:r w:rsidR="005D4D03" w:rsidRPr="00D70949">
        <w:rPr>
          <w:rFonts w:ascii="Tahoma" w:hAnsi="Tahoma" w:cs="Tahoma"/>
          <w:sz w:val="20"/>
          <w:szCs w:val="20"/>
        </w:rPr>
        <w:t>рограммно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обеспечени</w:t>
      </w:r>
      <w:r w:rsidRPr="00D70949">
        <w:rPr>
          <w:rFonts w:ascii="Tahoma" w:hAnsi="Tahoma" w:cs="Tahoma"/>
          <w:sz w:val="20"/>
          <w:szCs w:val="20"/>
        </w:rPr>
        <w:t>я с отобранн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систем</w:t>
      </w:r>
      <w:r w:rsidR="00C644DD" w:rsidRPr="00D70949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D70949">
        <w:rPr>
          <w:rFonts w:ascii="Tahoma" w:hAnsi="Tahoma" w:cs="Tahoma"/>
          <w:sz w:val="20"/>
          <w:szCs w:val="20"/>
        </w:rPr>
        <w:t>Един</w:t>
      </w:r>
      <w:r w:rsidR="00C644DD" w:rsidRPr="00D70949">
        <w:rPr>
          <w:rFonts w:ascii="Tahoma" w:hAnsi="Tahoma" w:cs="Tahoma"/>
          <w:sz w:val="20"/>
          <w:szCs w:val="20"/>
        </w:rPr>
        <w:t>ого</w:t>
      </w:r>
      <w:r w:rsidR="005D4D03" w:rsidRPr="00D70949">
        <w:rPr>
          <w:rFonts w:ascii="Tahoma" w:hAnsi="Tahoma" w:cs="Tahoma"/>
          <w:sz w:val="20"/>
          <w:szCs w:val="20"/>
        </w:rPr>
        <w:t xml:space="preserve"> реестр</w:t>
      </w:r>
      <w:r w:rsidR="00C644DD" w:rsidRPr="00D70949">
        <w:rPr>
          <w:rFonts w:ascii="Tahoma" w:hAnsi="Tahoma" w:cs="Tahoma"/>
          <w:sz w:val="20"/>
          <w:szCs w:val="20"/>
        </w:rPr>
        <w:t>а</w:t>
      </w:r>
      <w:r w:rsidR="005D4D03" w:rsidRPr="00D70949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D70949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D70949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D70949">
        <w:rPr>
          <w:rFonts w:ascii="Tahoma" w:hAnsi="Tahoma" w:cs="Tahoma"/>
          <w:sz w:val="20"/>
          <w:szCs w:val="20"/>
        </w:rPr>
        <w:t xml:space="preserve">данного </w:t>
      </w:r>
      <w:r w:rsidR="00190910" w:rsidRPr="00D70949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D70949">
        <w:rPr>
          <w:rFonts w:ascii="Tahoma" w:hAnsi="Tahoma" w:cs="Tahoma"/>
          <w:sz w:val="20"/>
          <w:szCs w:val="20"/>
        </w:rPr>
        <w:t>тификат</w:t>
      </w:r>
      <w:r w:rsidR="00190910" w:rsidRPr="00D70949">
        <w:rPr>
          <w:rFonts w:ascii="Tahoma" w:hAnsi="Tahoma" w:cs="Tahoma"/>
          <w:sz w:val="20"/>
          <w:szCs w:val="20"/>
        </w:rPr>
        <w:t>ов</w:t>
      </w:r>
      <w:r w:rsidR="005D4D03" w:rsidRPr="00D70949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D70949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687BC8" w:rsidRPr="005A25A3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70949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D70949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5A25A3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bookmarkStart w:id="15" w:name="_GoBack"/>
      <w:bookmarkEnd w:id="15"/>
      <w:r w:rsidRPr="005A25A3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277CA9" w:rsidRPr="005A25A3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5000" w:type="pct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535"/>
        <w:gridCol w:w="5649"/>
        <w:gridCol w:w="1600"/>
        <w:gridCol w:w="1989"/>
      </w:tblGrid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D9D9D9"/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D9D9D9"/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2" w:space="0" w:color="auto"/>
              <w:left w:val="single" w:sz="2" w:space="0" w:color="auto"/>
              <w:bottom w:val="single" w:sz="5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2" w:space="0" w:color="auto"/>
              <w:bottom w:val="single" w:sz="5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2" w:space="0" w:color="auto"/>
              <w:bottom w:val="single" w:sz="5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single" w:sz="2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</w:tcPr>
          <w:p w:rsidR="00C970FE" w:rsidRPr="00C970FE" w:rsidRDefault="00ED570D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</w:rPr>
              <w:t>10</w:t>
            </w:r>
            <w:r w:rsidR="00C970FE" w:rsidRPr="00C970FE">
              <w:rPr>
                <w:rFonts w:ascii="Tahoma" w:eastAsia="Arial Unicode MS" w:hAnsi="Tahoma" w:cs="Tahoma"/>
                <w:color w:val="000000"/>
                <w:sz w:val="20"/>
              </w:rPr>
              <w:t xml:space="preserve"> лет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bottom w:val="single" w:sz="5" w:space="0" w:color="000000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C970FE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bottom w:val="single" w:sz="5" w:space="0" w:color="000000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7A165A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3" w:history="1">
              <w:r w:rsidR="00C970FE" w:rsidRPr="00C970FE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48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5" w:space="0" w:color="auto"/>
              <w:left w:val="single" w:sz="5" w:space="0" w:color="auto"/>
              <w:bottom w:val="single" w:sz="2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5" w:space="0" w:color="auto"/>
              <w:left w:val="single" w:sz="5" w:space="0" w:color="auto"/>
              <w:bottom w:val="single" w:sz="2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</w:t>
            </w: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882" w:type="pct"/>
            <w:tcBorders>
              <w:top w:val="single" w:sz="2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2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bottom w:val="single" w:sz="5" w:space="0" w:color="000000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bottom w:val="single" w:sz="5" w:space="0" w:color="000000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bottom w:val="single" w:sz="5" w:space="0" w:color="000000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 xml:space="preserve">х) возобновление подачи электрической энергии по запросу интеллектуальной системы учета, в том числе </w:t>
            </w: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vMerge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5" w:space="0" w:color="auto"/>
              <w:bottom w:val="single" w:sz="5" w:space="0" w:color="000000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5" w:space="0" w:color="auto"/>
              <w:bottom w:val="single" w:sz="5" w:space="0" w:color="000000"/>
              <w:right w:val="single" w:sz="5" w:space="0" w:color="auto"/>
            </w:tcBorders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C970FE" w:rsidRPr="00C970FE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C970FE" w:rsidRPr="00B5326C" w:rsidTr="0051468E">
        <w:trPr>
          <w:trHeight w:val="13"/>
        </w:trPr>
        <w:tc>
          <w:tcPr>
            <w:tcW w:w="251" w:type="pct"/>
            <w:tcBorders>
              <w:top w:val="single" w:sz="5" w:space="0" w:color="auto"/>
              <w:left w:val="single" w:sz="5" w:space="0" w:color="auto"/>
              <w:bottom w:val="single" w:sz="2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</w:t>
            </w: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 xml:space="preserve">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C970FE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:rsidR="00C970FE" w:rsidRPr="00C970FE" w:rsidRDefault="00C970FE" w:rsidP="005146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C970FE" w:rsidRPr="00B5326C" w:rsidRDefault="00C970FE" w:rsidP="0051468E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C970FE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D00ED" w:rsidRPr="005A25A3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33B31" w:rsidRPr="005A25A3" w:rsidTr="00733B31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33B31" w:rsidRPr="005A25A3" w:rsidRDefault="00733B31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33B31" w:rsidRPr="005A25A3" w:rsidRDefault="00733B31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3B31" w:rsidRPr="005A25A3" w:rsidTr="00733B31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31" w:rsidRPr="005A25A3" w:rsidRDefault="00733B31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31" w:rsidRPr="005A25A3" w:rsidRDefault="00733B31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33B31" w:rsidRPr="005A25A3" w:rsidTr="00733B31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31" w:rsidRPr="005A25A3" w:rsidRDefault="00733B31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733B31" w:rsidRPr="005A25A3" w:rsidRDefault="00733B31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33B31" w:rsidRPr="005A25A3" w:rsidRDefault="00733B31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31" w:rsidRPr="005A25A3" w:rsidRDefault="00733B31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733B31" w:rsidRPr="005A25A3" w:rsidRDefault="00733B31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33B31" w:rsidRPr="005A25A3" w:rsidRDefault="00733B31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C970FE" w:rsidRDefault="00C970FE">
      <w:pPr>
        <w:spacing w:after="160" w:line="259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65A" w:rsidRDefault="007A165A" w:rsidP="000B39B4">
      <w:pPr>
        <w:spacing w:after="0" w:line="240" w:lineRule="auto"/>
      </w:pPr>
      <w:r>
        <w:separator/>
      </w:r>
    </w:p>
  </w:endnote>
  <w:endnote w:type="continuationSeparator" w:id="0">
    <w:p w:rsidR="007A165A" w:rsidRDefault="007A165A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65A" w:rsidRDefault="007A165A" w:rsidP="000B39B4">
      <w:pPr>
        <w:spacing w:after="0" w:line="240" w:lineRule="auto"/>
      </w:pPr>
      <w:r>
        <w:separator/>
      </w:r>
    </w:p>
  </w:footnote>
  <w:footnote w:type="continuationSeparator" w:id="0">
    <w:p w:rsidR="007A165A" w:rsidRDefault="007A165A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065E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7CA9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3CBA"/>
    <w:rsid w:val="00394CE9"/>
    <w:rsid w:val="003A16F9"/>
    <w:rsid w:val="003A59AC"/>
    <w:rsid w:val="003B0F2D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457F5"/>
    <w:rsid w:val="00546588"/>
    <w:rsid w:val="0055192A"/>
    <w:rsid w:val="00586C78"/>
    <w:rsid w:val="00593DB8"/>
    <w:rsid w:val="005A0158"/>
    <w:rsid w:val="005A25A3"/>
    <w:rsid w:val="005A684C"/>
    <w:rsid w:val="005B27C2"/>
    <w:rsid w:val="005B618A"/>
    <w:rsid w:val="005D0132"/>
    <w:rsid w:val="005D11AA"/>
    <w:rsid w:val="005D4D03"/>
    <w:rsid w:val="005D7644"/>
    <w:rsid w:val="005E2DBB"/>
    <w:rsid w:val="005E5FFE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3B31"/>
    <w:rsid w:val="007354B1"/>
    <w:rsid w:val="00774EDD"/>
    <w:rsid w:val="00782DB1"/>
    <w:rsid w:val="00792517"/>
    <w:rsid w:val="00792F95"/>
    <w:rsid w:val="007A165A"/>
    <w:rsid w:val="007A4348"/>
    <w:rsid w:val="007A4AC5"/>
    <w:rsid w:val="007A765A"/>
    <w:rsid w:val="007C4A9F"/>
    <w:rsid w:val="007D00ED"/>
    <w:rsid w:val="007D7722"/>
    <w:rsid w:val="007F0F9A"/>
    <w:rsid w:val="007F2C26"/>
    <w:rsid w:val="007F5FB5"/>
    <w:rsid w:val="007F67AC"/>
    <w:rsid w:val="008048C3"/>
    <w:rsid w:val="00816321"/>
    <w:rsid w:val="00820DCA"/>
    <w:rsid w:val="008269F0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257E0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768BE"/>
    <w:rsid w:val="00A81D74"/>
    <w:rsid w:val="00A9765F"/>
    <w:rsid w:val="00AA6298"/>
    <w:rsid w:val="00AD2A86"/>
    <w:rsid w:val="00AE566D"/>
    <w:rsid w:val="00AF0AD8"/>
    <w:rsid w:val="00AF7982"/>
    <w:rsid w:val="00B0599E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05810"/>
    <w:rsid w:val="00C21840"/>
    <w:rsid w:val="00C21A8F"/>
    <w:rsid w:val="00C47431"/>
    <w:rsid w:val="00C57C53"/>
    <w:rsid w:val="00C60323"/>
    <w:rsid w:val="00C60BED"/>
    <w:rsid w:val="00C644DD"/>
    <w:rsid w:val="00C80B42"/>
    <w:rsid w:val="00C970FE"/>
    <w:rsid w:val="00CB5093"/>
    <w:rsid w:val="00CC71DB"/>
    <w:rsid w:val="00CD0499"/>
    <w:rsid w:val="00CD2357"/>
    <w:rsid w:val="00CE4FA6"/>
    <w:rsid w:val="00CF18E8"/>
    <w:rsid w:val="00D16A97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D570D"/>
    <w:rsid w:val="00EE1642"/>
    <w:rsid w:val="00F04F25"/>
    <w:rsid w:val="00F13028"/>
    <w:rsid w:val="00F32927"/>
    <w:rsid w:val="00F55D42"/>
    <w:rsid w:val="00F6756B"/>
    <w:rsid w:val="00F73E13"/>
    <w:rsid w:val="00F82A36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54A8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11692</Words>
  <Characters>66646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9</cp:revision>
  <dcterms:created xsi:type="dcterms:W3CDTF">2024-04-02T13:09:00Z</dcterms:created>
  <dcterms:modified xsi:type="dcterms:W3CDTF">2024-05-21T13:27:00Z</dcterms:modified>
</cp:coreProperties>
</file>